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B3258F">
      <w:pP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附件</w:t>
      </w:r>
    </w:p>
    <w:p w14:paraId="0974CE10">
      <w:pPr>
        <w:snapToGrid w:val="0"/>
        <w:spacing w:line="560" w:lineRule="exact"/>
        <w:jc w:val="center"/>
        <w:rPr>
          <w:rFonts w:hint="eastAsia"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lang w:val="en-US" w:eastAsia="zh-CN"/>
        </w:rPr>
        <w:t>江苏联合职业技术</w:t>
      </w:r>
      <w:r>
        <w:rPr>
          <w:rFonts w:hint="eastAsia" w:ascii="方正小标宋_GBK" w:hAnsi="方正小标宋_GBK" w:eastAsia="方正小标宋_GBK" w:cs="方正小标宋_GBK"/>
          <w:bCs/>
          <w:color w:val="auto"/>
          <w:sz w:val="44"/>
          <w:szCs w:val="44"/>
        </w:rPr>
        <w:t>学院</w:t>
      </w:r>
    </w:p>
    <w:p w14:paraId="7B08DBF6">
      <w:pPr>
        <w:snapToGrid w:val="0"/>
        <w:spacing w:line="560" w:lineRule="exact"/>
        <w:jc w:val="center"/>
        <w:rPr>
          <w:rFonts w:hint="default" w:ascii="Times New Roman" w:hAnsi="Times New Roman" w:eastAsia="方正小标宋_GBK" w:cs="Times New Roman"/>
          <w:bCs/>
          <w:color w:val="auto"/>
          <w:sz w:val="44"/>
          <w:szCs w:val="44"/>
        </w:rPr>
      </w:pPr>
      <w:r>
        <w:rPr>
          <w:rFonts w:hint="eastAsia" w:ascii="方正小标宋_GBK" w:hAnsi="方正小标宋_GBK" w:eastAsia="方正小标宋_GBK" w:cs="方正小标宋_GBK"/>
          <w:bCs/>
          <w:color w:val="auto"/>
          <w:sz w:val="44"/>
          <w:szCs w:val="44"/>
        </w:rPr>
        <w:t>教学指导委员会202</w:t>
      </w:r>
      <w:r>
        <w:rPr>
          <w:rFonts w:hint="eastAsia" w:ascii="方正小标宋_GBK" w:hAnsi="方正小标宋_GBK" w:eastAsia="方正小标宋_GBK" w:cs="方正小标宋_GBK"/>
          <w:bCs/>
          <w:color w:val="auto"/>
          <w:sz w:val="44"/>
          <w:szCs w:val="44"/>
          <w:lang w:val="en-US" w:eastAsia="zh-CN"/>
        </w:rPr>
        <w:t>5</w:t>
      </w:r>
      <w:r>
        <w:rPr>
          <w:rFonts w:hint="eastAsia" w:ascii="方正小标宋_GBK" w:hAnsi="方正小标宋_GBK" w:eastAsia="方正小标宋_GBK" w:cs="方正小标宋_GBK"/>
          <w:bCs/>
          <w:color w:val="auto"/>
          <w:sz w:val="44"/>
          <w:szCs w:val="44"/>
        </w:rPr>
        <w:t>年工作要点</w:t>
      </w:r>
    </w:p>
    <w:p w14:paraId="18BDCB1C">
      <w:pPr>
        <w:spacing w:line="560" w:lineRule="exact"/>
        <w:ind w:firstLine="640" w:firstLineChars="200"/>
        <w:rPr>
          <w:rFonts w:hint="default" w:ascii="Times New Roman" w:hAnsi="Times New Roman" w:eastAsia="仿宋" w:cs="Times New Roman"/>
          <w:color w:val="auto"/>
          <w:sz w:val="32"/>
          <w:szCs w:val="32"/>
        </w:rPr>
      </w:pPr>
    </w:p>
    <w:p w14:paraId="29A8DCB3">
      <w:pPr>
        <w:spacing w:line="560"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2025年，学院教学指导委员会将贯彻落实学院全面从严治党会议暨院务工作会议精神，围绕学院2025年重点工作，指导学院各办学单位全面提高教育教学质量，为江苏省五年制高等职业教育高质量发展贡献力量，重点完成以下工作。</w:t>
      </w:r>
    </w:p>
    <w:p w14:paraId="6D3D56A2">
      <w:pPr>
        <w:spacing w:line="56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一、强化标准引领</w:t>
      </w:r>
    </w:p>
    <w:p w14:paraId="360F8FC0">
      <w:pPr>
        <w:spacing w:line="560"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1.修订2025版专业指导性人才培养方案，指导办学单位制订2025级实施性人才培养方案，并组织方案初审。开展办学单位实施性人才培养方案执行情况跟踪调研。</w:t>
      </w:r>
    </w:p>
    <w:p w14:paraId="0E0A8794">
      <w:pPr>
        <w:spacing w:line="560"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2.做好公共基础课程学标、贯标、用标，适时推动公共基础课程标准修订，加强人工智能通识教育。研制心理健康与职业生涯课程标准。做好相关新教材培训工作。</w:t>
      </w:r>
    </w:p>
    <w:p w14:paraId="44FFEF8A">
      <w:pPr>
        <w:spacing w:line="560"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3.完成指导性专业核心课程标准审定，指导办学单位研制实施性专业核心课程标准。开展实施性专业核心课程标准执行情况跟踪调研。</w:t>
      </w:r>
    </w:p>
    <w:p w14:paraId="20B0ED08">
      <w:pPr>
        <w:spacing w:line="56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二、推进专业建设</w:t>
      </w:r>
    </w:p>
    <w:p w14:paraId="608B02BE">
      <w:pPr>
        <w:spacing w:line="560"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4.各专指委开展专业设置与区域重点产业匹配度调研，并形成调研报告。指导办学单位做好2026年专业设置和调整工作。</w:t>
      </w:r>
    </w:p>
    <w:p w14:paraId="4FF511BB">
      <w:pPr>
        <w:spacing w:line="560"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5.指导办学单位做好高水平专业群建设，协助办学单位申报院级与省级五年制高等职业教育高水平专业群。</w:t>
      </w:r>
    </w:p>
    <w:p w14:paraId="70683B74">
      <w:pPr>
        <w:spacing w:line="560"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6.各专指委与至少一家有影响力的大中型企业开展紧密合作，深化校企“双元”育人。指导办学单位以多种方式积极参与市域产教联合体或行业产教融合共同体。</w:t>
      </w:r>
    </w:p>
    <w:p w14:paraId="07B6238E">
      <w:pPr>
        <w:spacing w:line="560"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 xml:space="preserve">7.指导办学单位开展高水平实训基地、产业学院和五年制高职现代学徒制等项目建设。协助办学单位申报校企合作典型生产性实践案例。 </w:t>
      </w:r>
    </w:p>
    <w:p w14:paraId="717EB249">
      <w:pPr>
        <w:spacing w:line="56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三、加强师资建设</w:t>
      </w:r>
    </w:p>
    <w:p w14:paraId="248A8119">
      <w:pPr>
        <w:spacing w:line="560"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8.充分发挥省级、院级人才项目培养对象的引领作用，合理安排各级各类人才项目教师参与专（课）指委的有关工作。指导办学单位做好学院公共基础课带头人、专业带头人、教师教学创新团队、教学名师等人才项目评选与培育建设工作。根据学院要求做好院本师资培训，重点开展人工智能技术应用培训。</w:t>
      </w:r>
    </w:p>
    <w:p w14:paraId="7A0DF42E">
      <w:pPr>
        <w:spacing w:line="560"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9.深入实施“学院名师资源共享”工程，通过共享“名师课堂”、组建虚拟教研室、开展结对帮扶、创建教学创新团队等方式，开展跨区域、跨学校教科研活动，充分发挥名师引领示范效应，使名师资源得到更大范围共享。</w:t>
      </w:r>
    </w:p>
    <w:p w14:paraId="15DB0665">
      <w:pPr>
        <w:spacing w:line="56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四、共建优质资源</w:t>
      </w:r>
    </w:p>
    <w:p w14:paraId="655779F6">
      <w:pPr>
        <w:spacing w:line="560"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10.遴选推荐优质教学资源，不断充实五年制高职智慧教育平台内容，推进共建共享，放大优质教学资源辐射和示范效应。</w:t>
      </w:r>
    </w:p>
    <w:p w14:paraId="3640D6A2">
      <w:pPr>
        <w:spacing w:line="560"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11.指导办学单位持续开展专业教学资源库、在线精品课程和示范性虚拟仿真实训基地建设项目建设，协助办学单位做好各类省级教学资源项目申报工作。</w:t>
      </w:r>
    </w:p>
    <w:p w14:paraId="6C0E83A3">
      <w:pPr>
        <w:spacing w:line="560"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12.推进教材建设与管理，指导办学单位开发院规教材和数字化教材，努力打造契合五年制高职发展需要的专业化、特色化教材。指导办学单位做好“十四五”国规、省规教材申报。</w:t>
      </w:r>
    </w:p>
    <w:p w14:paraId="03DD0279">
      <w:pPr>
        <w:spacing w:line="560"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13.指导办学单位积极引进国外优质教育资源，开发对外合作新项目，推动在教师培训、学历提升、文化交流等方面的合作。加强办学单位之间对外合作项目资源共享。</w:t>
      </w:r>
    </w:p>
    <w:p w14:paraId="50B491FB">
      <w:pPr>
        <w:spacing w:line="56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五、提升教学能力</w:t>
      </w:r>
    </w:p>
    <w:p w14:paraId="2A318103">
      <w:pPr>
        <w:spacing w:line="560"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14.强化人工智能技术在教学各环节中的应用，遴选推广一批“AI融入教学应用”优秀案例。指导办学单位以院级“金课”建设为抓手，对接企业岗位标准和工作任务，优化课程设计，更新课程内容，提升课程建设质量。</w:t>
      </w:r>
    </w:p>
    <w:p w14:paraId="55A92E4F">
      <w:pPr>
        <w:spacing w:line="560"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15.组织办学单位常态化开展课程思政集体备课和集中展示活动。指导办学单位做好院级课程思政示范项目建设。</w:t>
      </w:r>
    </w:p>
    <w:p w14:paraId="566267A9">
      <w:pPr>
        <w:spacing w:line="560"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16.指导办学单位做好教学成果申报、课题研究等科研工作。积极开展典型案例征集推广、经验交流、专题调研等，不断提升教育教学质量。</w:t>
      </w:r>
      <w:bookmarkStart w:id="0" w:name="_GoBack"/>
      <w:bookmarkEnd w:id="0"/>
    </w:p>
    <w:p w14:paraId="182FABDE">
      <w:pPr>
        <w:spacing w:line="56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六、推动赛教融合</w:t>
      </w:r>
    </w:p>
    <w:p w14:paraId="138F063C">
      <w:pPr>
        <w:spacing w:line="560"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17.组织做好2025年学院教学能力比赛，推荐优秀作品参加省赛、国赛，并做好赛前集训辅导工作。做好学院学生、教师技能大赛组织工作，选拔并培训优秀队伍参加省赛、世赛，力争取得优异成绩。指导办学单位培育、遴选优秀作品，参加大学生职业规划大赛院赛、省赛、国赛。</w:t>
      </w:r>
    </w:p>
    <w:p w14:paraId="20F2FE0E">
      <w:pPr>
        <w:spacing w:line="560"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18.坚持以赛促教，指导办学单位将竞赛标准、赛项内容等融入人才培养，促进教学质量提升。开展竞赛成果转化专题培训与交流，指导办学单位做好各类竞赛成果资源转化。</w:t>
      </w:r>
    </w:p>
    <w:p w14:paraId="759D4765">
      <w:pPr>
        <w:snapToGrid w:val="0"/>
        <w:spacing w:line="560" w:lineRule="exact"/>
        <w:jc w:val="center"/>
        <w:rPr>
          <w:rFonts w:hint="eastAsia" w:ascii="仿宋_GB2312" w:hAnsi="仿宋_GB2312" w:eastAsia="仿宋_GB2312" w:cs="仿宋_GB2312"/>
          <w:color w:val="auto"/>
          <w:sz w:val="32"/>
          <w:szCs w:val="32"/>
        </w:rPr>
      </w:pPr>
    </w:p>
    <w:sectPr>
      <w:footerReference r:id="rId3" w:type="default"/>
      <w:pgSz w:w="11906" w:h="16838"/>
      <w:pgMar w:top="1440" w:right="1800" w:bottom="1440" w:left="1800" w:header="851" w:footer="56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CFD86">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7C4CEA">
                          <w:pPr>
                            <w:pStyle w:val="2"/>
                          </w:pPr>
                          <w:r>
                            <w:t>—</w:t>
                          </w:r>
                          <w:r>
                            <w:rPr>
                              <w:rFonts w:hint="eastAsia" w:ascii="方正小标宋_GBK" w:hAnsi="方正小标宋_GBK" w:eastAsia="方正小标宋_GBK" w:cs="方正小标宋_GBK"/>
                            </w:rP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67C4CEA">
                    <w:pPr>
                      <w:pStyle w:val="2"/>
                    </w:pPr>
                    <w:r>
                      <w:t>—</w:t>
                    </w:r>
                    <w:r>
                      <w:rPr>
                        <w:rFonts w:hint="eastAsia" w:ascii="方正小标宋_GBK" w:hAnsi="方正小标宋_GBK" w:eastAsia="方正小标宋_GBK" w:cs="方正小标宋_GBK"/>
                      </w:rP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14:paraId="716BDB50">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xMTMwOTJkNzI5NGVhMDY4MzYyYWQxNmU1NjJhNmYifQ=="/>
  </w:docVars>
  <w:rsids>
    <w:rsidRoot w:val="00002399"/>
    <w:rsid w:val="000000FE"/>
    <w:rsid w:val="00002399"/>
    <w:rsid w:val="000775F2"/>
    <w:rsid w:val="00116BD0"/>
    <w:rsid w:val="001463C2"/>
    <w:rsid w:val="00163FB7"/>
    <w:rsid w:val="001B26F1"/>
    <w:rsid w:val="001B4B9D"/>
    <w:rsid w:val="001B650C"/>
    <w:rsid w:val="001E3015"/>
    <w:rsid w:val="00223C27"/>
    <w:rsid w:val="00242559"/>
    <w:rsid w:val="00265133"/>
    <w:rsid w:val="002D6CA7"/>
    <w:rsid w:val="00315E2B"/>
    <w:rsid w:val="003161CF"/>
    <w:rsid w:val="003805DD"/>
    <w:rsid w:val="003A2CDB"/>
    <w:rsid w:val="003C28D2"/>
    <w:rsid w:val="004029C1"/>
    <w:rsid w:val="00404ECD"/>
    <w:rsid w:val="00407E92"/>
    <w:rsid w:val="004178FC"/>
    <w:rsid w:val="004208E0"/>
    <w:rsid w:val="0049292C"/>
    <w:rsid w:val="004A282A"/>
    <w:rsid w:val="004A39F2"/>
    <w:rsid w:val="00524F38"/>
    <w:rsid w:val="0053769D"/>
    <w:rsid w:val="0056413B"/>
    <w:rsid w:val="005734F7"/>
    <w:rsid w:val="005959A8"/>
    <w:rsid w:val="005B4D44"/>
    <w:rsid w:val="00604369"/>
    <w:rsid w:val="00607B35"/>
    <w:rsid w:val="006108C2"/>
    <w:rsid w:val="00645F16"/>
    <w:rsid w:val="00695F1B"/>
    <w:rsid w:val="006A0650"/>
    <w:rsid w:val="0071165B"/>
    <w:rsid w:val="0073289A"/>
    <w:rsid w:val="007459D2"/>
    <w:rsid w:val="00760945"/>
    <w:rsid w:val="00793CFB"/>
    <w:rsid w:val="007D59D2"/>
    <w:rsid w:val="007D6694"/>
    <w:rsid w:val="00814DFD"/>
    <w:rsid w:val="0087394D"/>
    <w:rsid w:val="00896E8F"/>
    <w:rsid w:val="008D4A70"/>
    <w:rsid w:val="008E2EBD"/>
    <w:rsid w:val="00900A3B"/>
    <w:rsid w:val="00954E5E"/>
    <w:rsid w:val="00964FC3"/>
    <w:rsid w:val="00967B5A"/>
    <w:rsid w:val="009B5C5E"/>
    <w:rsid w:val="009C28E9"/>
    <w:rsid w:val="00A16DA3"/>
    <w:rsid w:val="00AB10ED"/>
    <w:rsid w:val="00AC4B40"/>
    <w:rsid w:val="00B03913"/>
    <w:rsid w:val="00B669B8"/>
    <w:rsid w:val="00B677CB"/>
    <w:rsid w:val="00BA1309"/>
    <w:rsid w:val="00BC34AF"/>
    <w:rsid w:val="00BF1C1A"/>
    <w:rsid w:val="00BF265F"/>
    <w:rsid w:val="00C12F48"/>
    <w:rsid w:val="00C1379F"/>
    <w:rsid w:val="00C444B8"/>
    <w:rsid w:val="00C46E7F"/>
    <w:rsid w:val="00C541BB"/>
    <w:rsid w:val="00C82034"/>
    <w:rsid w:val="00CA7768"/>
    <w:rsid w:val="00CB5658"/>
    <w:rsid w:val="00CE758A"/>
    <w:rsid w:val="00D00B79"/>
    <w:rsid w:val="00D41448"/>
    <w:rsid w:val="00D50363"/>
    <w:rsid w:val="00D50702"/>
    <w:rsid w:val="00D9028D"/>
    <w:rsid w:val="00D9524C"/>
    <w:rsid w:val="00DD2634"/>
    <w:rsid w:val="00E26EF3"/>
    <w:rsid w:val="00E2708E"/>
    <w:rsid w:val="00E54EEF"/>
    <w:rsid w:val="00E7005E"/>
    <w:rsid w:val="00E9180F"/>
    <w:rsid w:val="00EA72E7"/>
    <w:rsid w:val="00ED472F"/>
    <w:rsid w:val="00F50110"/>
    <w:rsid w:val="00F61797"/>
    <w:rsid w:val="00FA728E"/>
    <w:rsid w:val="00FB63F8"/>
    <w:rsid w:val="00FE1EC0"/>
    <w:rsid w:val="01C64620"/>
    <w:rsid w:val="048316B4"/>
    <w:rsid w:val="051254B4"/>
    <w:rsid w:val="0C8640A4"/>
    <w:rsid w:val="139D0DC4"/>
    <w:rsid w:val="15824242"/>
    <w:rsid w:val="159535C0"/>
    <w:rsid w:val="1CE617B0"/>
    <w:rsid w:val="1EBD693A"/>
    <w:rsid w:val="209E10D2"/>
    <w:rsid w:val="2F9119D9"/>
    <w:rsid w:val="3658427B"/>
    <w:rsid w:val="37711EC2"/>
    <w:rsid w:val="39E267E1"/>
    <w:rsid w:val="3A683CF4"/>
    <w:rsid w:val="3B7E7ACD"/>
    <w:rsid w:val="3C7931A3"/>
    <w:rsid w:val="4D714816"/>
    <w:rsid w:val="56E66FE3"/>
    <w:rsid w:val="5B2A4C44"/>
    <w:rsid w:val="61166709"/>
    <w:rsid w:val="64011CE3"/>
    <w:rsid w:val="66375CC2"/>
    <w:rsid w:val="6AB21FD5"/>
    <w:rsid w:val="6B321631"/>
    <w:rsid w:val="6F3255FE"/>
    <w:rsid w:val="6F3E03A3"/>
    <w:rsid w:val="731A1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000FF"/>
      <w:u w:val="single"/>
    </w:rPr>
  </w:style>
  <w:style w:type="character" w:customStyle="1" w:styleId="8">
    <w:name w:val="未处理的提及1"/>
    <w:basedOn w:val="6"/>
    <w:semiHidden/>
    <w:unhideWhenUsed/>
    <w:qFormat/>
    <w:uiPriority w:val="99"/>
    <w:rPr>
      <w:color w:val="605E5C"/>
      <w:shd w:val="clear" w:color="auto" w:fill="E1DFDD"/>
    </w:rPr>
  </w:style>
  <w:style w:type="paragraph" w:styleId="9">
    <w:name w:val="List Paragraph"/>
    <w:basedOn w:val="1"/>
    <w:qFormat/>
    <w:uiPriority w:val="34"/>
    <w:pPr>
      <w:ind w:firstLine="420" w:firstLineChars="200"/>
    </w:pPr>
  </w:style>
  <w:style w:type="character" w:customStyle="1" w:styleId="10">
    <w:name w:val="页眉 字符"/>
    <w:basedOn w:val="6"/>
    <w:link w:val="3"/>
    <w:qFormat/>
    <w:uiPriority w:val="99"/>
    <w:rPr>
      <w:sz w:val="18"/>
      <w:szCs w:val="18"/>
    </w:rPr>
  </w:style>
  <w:style w:type="character" w:customStyle="1" w:styleId="11">
    <w:name w:val="页脚 字符"/>
    <w:basedOn w:val="6"/>
    <w:link w:val="2"/>
    <w:qFormat/>
    <w:uiPriority w:val="99"/>
    <w:rPr>
      <w:sz w:val="18"/>
      <w:szCs w:val="18"/>
    </w:rPr>
  </w:style>
  <w:style w:type="character" w:customStyle="1" w:styleId="12">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8C2D01-0E04-48F5-8392-17213CAA1FCD}">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1499</Words>
  <Characters>1548</Characters>
  <Lines>12</Lines>
  <Paragraphs>3</Paragraphs>
  <TotalTime>91</TotalTime>
  <ScaleCrop>false</ScaleCrop>
  <LinksUpToDate>false</LinksUpToDate>
  <CharactersWithSpaces>1549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2024-02-23T01:35:00Z</dcterms:created>
  <dc:creator>钱文琴</dc:creator>
  <cp:lastModifiedBy>斜月三星</cp:lastModifiedBy>
  <cp:lastPrinted>2025-03-12T00:52:00Z</cp:lastPrinted>
  <dcterms:modified xsi:type="dcterms:W3CDTF">2025-03-17T02:51:36Z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eyJoZGlkIjoiYTE4YzBmZjkzNGQ0NTk4YjI4MjkzMDMxYWQzYTZlYjUiLCJ1c2VySWQiOiI0NDU5NDY0MTMifQ==</vt:lpwstr>
  </property>
  <property fmtid="{D5CDD505-2E9C-101B-9397-08002B2CF9AE}" pid="3" name="KSOProductBuildVer">
    <vt:lpwstr>2052-12.1.0.20305</vt:lpwstr>
  </property>
  <property fmtid="{D5CDD505-2E9C-101B-9397-08002B2CF9AE}" pid="4" name="ICV">
    <vt:lpwstr>7B4A6123A10043289629B8A4BCFEB7BC_13</vt:lpwstr>
  </property>
</Properties>
</file>