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firstLine="0" w:firstLineChars="0"/>
        <w:jc w:val="both"/>
        <w:rPr>
          <w:rFonts w:hint="default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pStyle w:val="14"/>
        <w:ind w:firstLine="0" w:firstLineChars="0"/>
        <w:jc w:val="center"/>
        <w:rPr>
          <w:rFonts w:hint="eastAsia" w:ascii="宋体" w:hAnsi="宋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val="en-US" w:eastAsia="zh-CN"/>
        </w:rPr>
        <w:t>江苏联合职业技术学院</w:t>
      </w:r>
    </w:p>
    <w:p>
      <w:pPr>
        <w:pStyle w:val="14"/>
        <w:ind w:firstLine="0" w:firstLineChars="0"/>
        <w:jc w:val="center"/>
        <w:rPr>
          <w:rFonts w:hint="default" w:ascii="宋体" w:hAnsi="宋体" w:eastAsia="宋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 w:val="44"/>
          <w:szCs w:val="44"/>
        </w:rPr>
        <w:t>思想政治理论课集体备课制度</w:t>
      </w:r>
    </w:p>
    <w:p>
      <w:pPr>
        <w:pStyle w:val="14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（试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行）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为切实提高我院思政课教学质量和思政课教师教学水平，根据中办、国办《关于深化新时代学校思想政治理论课改革创新的若干意见》和中宣部、教育部关于印发《新时代学校思想政治理论课改革创新实施方案》以及学院《关于大力推进新时代学院五年制高职思想政治理论课建设的意见》等有关文件精神，结合学院实际，特制定本制度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一、总体要求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以习近平新时代中国特色社会主义思想为指导，全面贯彻党的教育方针，</w:t>
      </w:r>
      <w:r>
        <w:rPr>
          <w:rFonts w:ascii="仿宋" w:hAnsi="仿宋" w:eastAsia="仿宋"/>
          <w:color w:val="auto"/>
          <w:sz w:val="32"/>
          <w:szCs w:val="32"/>
        </w:rPr>
        <w:t>落实立德树人根本任务，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遵循思想政治工作规律、教书育人规律、学生成长规律，坚持思政课建设与党的创新理论武装同步推进，坚持守正与创新相结合，坚持思政课的政治引领与价值引领作用，坚持培养高素质专业化思政课教师队伍，坚持问题导向和目标导向相结合，着力构建学院思政课集体备课网络体系，积极开展内容丰富多彩，形式灵活多样的集体备课活动，不断提升思政课教师理论功底、知识素养和教学能力、教学水平。</w:t>
      </w:r>
    </w:p>
    <w:p>
      <w:pPr>
        <w:pStyle w:val="14"/>
        <w:ind w:firstLine="640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二、集体备课任务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1.备教材。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依据马克思主义理论研究和建设工程统编的最新版教材和课程标准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，深入研究教材内容，吃准吃透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教材基本精神，全面把握教材重点、难点，认真做好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教材转化工作，切实推进教材体系向教学体系转化，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研究确定教学进度和内容，形成统一的参考教案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2.备学生。坚持以学生为主体，教师为主导的教育理念，以学生的认知发展水平和已有的经验为基础，研究学生的认知特点和规律，充分了解学生的思想政治状况，注重调动学生学习的积极性和主动性。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备教法。按照“政治性和学理性相统一、价值性和知识性相统一、建设性和批判性相统一、理论性和实践性相统一、统一性和多样性相统一、主导性和主体性相统一、灌输性和启发性相统一、显性教育和隐性教育相统一”的要求，探索案例式、探究式、体验式、互动式、专题式、分众式等教学方法改革，不断增强思政课的思想性、理论性和亲和力、针对性，全面提高思政课质量和水平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4.备问题。集中研讨课程教学中存在的共性问题和疑难问题，深入研究课程教学重点难点问题，深入研究坚持和发展中国特色社会主义的重大理论和实践问题。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 w:bidi="ar-SA"/>
        </w:rPr>
        <w:t>三、组织架构与备课形式</w:t>
      </w:r>
    </w:p>
    <w:p>
      <w:pPr>
        <w:pStyle w:val="14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建立各办学单位、协作组、学院三级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思政课集体备课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组织，实行课程牵头人负责制</w:t>
      </w:r>
      <w:r>
        <w:rPr>
          <w:rFonts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办学单位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研究确定本校</w:t>
      </w:r>
      <w:r>
        <w:rPr>
          <w:rFonts w:ascii="仿宋" w:hAnsi="仿宋" w:eastAsia="仿宋" w:cs="仿宋"/>
          <w:color w:val="auto"/>
          <w:sz w:val="32"/>
          <w:szCs w:val="32"/>
        </w:rPr>
        <w:t>思政课校内集体备课牵头人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并报学院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color w:val="auto"/>
          <w:sz w:val="32"/>
          <w:szCs w:val="32"/>
        </w:rPr>
        <w:t>各协作组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办学单位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推荐的基础上，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研究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确定本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协作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</w:t>
      </w:r>
      <w:r>
        <w:rPr>
          <w:rFonts w:ascii="仿宋" w:hAnsi="仿宋" w:eastAsia="仿宋" w:cs="仿宋"/>
          <w:color w:val="auto"/>
          <w:sz w:val="32"/>
          <w:szCs w:val="32"/>
        </w:rPr>
        <w:t>思政课集体备课牵头人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并报学院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思政教育与德育指导委员会在各</w:t>
      </w:r>
      <w:r>
        <w:rPr>
          <w:rFonts w:ascii="仿宋" w:hAnsi="仿宋" w:eastAsia="仿宋" w:cs="仿宋"/>
          <w:color w:val="auto"/>
          <w:sz w:val="32"/>
          <w:szCs w:val="32"/>
        </w:rPr>
        <w:t>协作组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推荐的基础上，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研究</w:t>
      </w:r>
      <w:r>
        <w:rPr>
          <w:rFonts w:ascii="仿宋" w:hAnsi="仿宋" w:eastAsia="仿宋" w:cs="仿宋"/>
          <w:color w:val="auto"/>
          <w:sz w:val="32"/>
          <w:szCs w:val="32"/>
        </w:rPr>
        <w:t>确定学院思政课集体备课牵头人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并报学院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集体备课形式，可通过专家示范引领、专题教学研讨、新任职教师试讲、</w:t>
      </w:r>
      <w:r>
        <w:rPr>
          <w:rFonts w:ascii="仿宋" w:hAnsi="仿宋" w:eastAsia="仿宋" w:cs="仿宋"/>
          <w:color w:val="auto"/>
          <w:sz w:val="32"/>
          <w:szCs w:val="32"/>
        </w:rPr>
        <w:t>骨干教师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上示范课、经验丰富的教师</w:t>
      </w:r>
      <w:r>
        <w:rPr>
          <w:rFonts w:ascii="仿宋" w:hAnsi="仿宋" w:eastAsia="仿宋" w:cs="仿宋"/>
          <w:color w:val="auto"/>
          <w:sz w:val="32"/>
          <w:szCs w:val="32"/>
        </w:rPr>
        <w:t>说课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等形式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线下备课和线上备课相结合，丰富集体备课载体，有针对性地增强集体备课效果。</w:t>
      </w:r>
    </w:p>
    <w:p>
      <w:pPr>
        <w:pStyle w:val="14"/>
        <w:ind w:firstLine="640"/>
        <w:rPr>
          <w:rFonts w:hint="default" w:ascii="黑体" w:hAnsi="黑体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四、有关要求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1.完善制度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各办学单位要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制定完善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学校集体备课制度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采取切实有效的措施，调动思政课教师参与集体备课的积极性，</w:t>
      </w:r>
      <w:r>
        <w:rPr>
          <w:rFonts w:ascii="仿宋" w:hAnsi="仿宋" w:eastAsia="仿宋"/>
          <w:color w:val="auto"/>
          <w:sz w:val="32"/>
          <w:szCs w:val="32"/>
        </w:rPr>
        <w:t>为思政课集体备课提供有力保障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color w:val="auto"/>
          <w:sz w:val="32"/>
          <w:szCs w:val="32"/>
        </w:rPr>
        <w:t>各协作组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</w:t>
      </w:r>
      <w:r>
        <w:rPr>
          <w:rFonts w:ascii="仿宋" w:hAnsi="仿宋" w:eastAsia="仿宋" w:cs="仿宋"/>
          <w:color w:val="auto"/>
          <w:sz w:val="32"/>
          <w:szCs w:val="32"/>
        </w:rPr>
        <w:t>集体备课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为契机，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</w:t>
      </w:r>
      <w:r>
        <w:rPr>
          <w:rFonts w:ascii="仿宋" w:hAnsi="仿宋" w:eastAsia="仿宋" w:cs="仿宋"/>
          <w:color w:val="auto"/>
          <w:sz w:val="32"/>
          <w:szCs w:val="32"/>
        </w:rPr>
        <w:t>集体备课研课，促进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校际</w:t>
      </w:r>
      <w:r>
        <w:rPr>
          <w:rFonts w:ascii="仿宋" w:hAnsi="仿宋" w:eastAsia="仿宋" w:cs="仿宋"/>
          <w:color w:val="auto"/>
          <w:sz w:val="32"/>
          <w:szCs w:val="32"/>
        </w:rPr>
        <w:t>间的学习交流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思政教育与德育指导委员会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要制定完善思政课线上线下集体备课制度，发挥协同效应，推进思政课集体备课持续有效开展。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2.精心组织。各办学单位、协作组和学院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思政教育与德育指导委员会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每年要制定集体备课年度工作计划，原则上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办学单位每个月线下组织不少于1次校内集体备课，</w:t>
      </w:r>
      <w:r>
        <w:rPr>
          <w:rFonts w:ascii="仿宋" w:hAnsi="仿宋" w:eastAsia="仿宋" w:cs="仿宋"/>
          <w:color w:val="auto"/>
          <w:sz w:val="32"/>
          <w:szCs w:val="32"/>
        </w:rPr>
        <w:t>各协作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组每学期线下组织不少于2次的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集体备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学院思指委每学期线下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组织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不少于1次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集体备课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。每次备课活动都要精心准备、精心组织，明确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主题内容，聚焦重点、难点和热点问题，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充分调动教师的主动性、积极性和创造性，提升集体备课的针对性、有效性和实效性。</w:t>
      </w:r>
    </w:p>
    <w:p>
      <w:pPr>
        <w:ind w:firstLine="640" w:firstLineChars="200"/>
        <w:rPr>
          <w:rFonts w:hint="default" w:ascii="仿宋" w:hAnsi="仿宋" w:eastAsia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强化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考核。各办学单位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</w:t>
      </w:r>
      <w:r>
        <w:rPr>
          <w:rFonts w:ascii="仿宋" w:hAnsi="仿宋" w:eastAsia="仿宋"/>
          <w:color w:val="auto"/>
          <w:sz w:val="32"/>
          <w:szCs w:val="32"/>
        </w:rPr>
        <w:t>将学校思政课集体备课情况纳入党委（党总支）落实意识形态工作责任制考核，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建立健全集体备课督导机制，加强对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思政课教师参与集体备课情况的考核监督；协作组和学院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思政教育与德育指导委员会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要认真落实年度计划，认真总结经验，积极推广集体备课成果，学院将对在集体备课中表现优秀、成绩突出的教师给予表扬，发挥他们的示范引领作用，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对未按要求组织和参与集体备课活动的办学单位和教师予以批评。</w:t>
      </w:r>
    </w:p>
    <w:p>
      <w:pPr>
        <w:ind w:firstLine="640" w:firstLineChars="200"/>
        <w:jc w:val="right"/>
        <w:rPr>
          <w:rFonts w:hint="eastAsia" w:ascii="仿宋" w:hAnsi="仿宋" w:eastAsia="仿宋"/>
          <w:bCs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江苏联合职业技术学院</w:t>
      </w:r>
    </w:p>
    <w:p>
      <w:pPr>
        <w:ind w:firstLine="640" w:firstLineChars="200"/>
        <w:jc w:val="center"/>
        <w:rPr>
          <w:b/>
          <w:color w:val="auto"/>
          <w:sz w:val="15"/>
          <w:szCs w:val="15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 xml:space="preserve">                             2021年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 xml:space="preserve">日 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7E8"/>
    <w:rsid w:val="0065038F"/>
    <w:rsid w:val="00670E24"/>
    <w:rsid w:val="00AB20C1"/>
    <w:rsid w:val="01400EF6"/>
    <w:rsid w:val="033473E7"/>
    <w:rsid w:val="036B6208"/>
    <w:rsid w:val="04371BAC"/>
    <w:rsid w:val="044665C2"/>
    <w:rsid w:val="05821B50"/>
    <w:rsid w:val="069F7919"/>
    <w:rsid w:val="078D6B5F"/>
    <w:rsid w:val="07B64A03"/>
    <w:rsid w:val="0A7D39EC"/>
    <w:rsid w:val="0BB67157"/>
    <w:rsid w:val="0BCD64B9"/>
    <w:rsid w:val="0BCF23E1"/>
    <w:rsid w:val="0C4A5DC0"/>
    <w:rsid w:val="0D9B5B28"/>
    <w:rsid w:val="0E394DBB"/>
    <w:rsid w:val="0E6F5C84"/>
    <w:rsid w:val="0FBB6DC4"/>
    <w:rsid w:val="10C04416"/>
    <w:rsid w:val="10D250E9"/>
    <w:rsid w:val="11B24BB6"/>
    <w:rsid w:val="11F06C1F"/>
    <w:rsid w:val="12C63061"/>
    <w:rsid w:val="13430634"/>
    <w:rsid w:val="13944607"/>
    <w:rsid w:val="13D059D8"/>
    <w:rsid w:val="143B56FB"/>
    <w:rsid w:val="148718BF"/>
    <w:rsid w:val="14D96F47"/>
    <w:rsid w:val="15692532"/>
    <w:rsid w:val="15BB6B06"/>
    <w:rsid w:val="16463633"/>
    <w:rsid w:val="177D4B41"/>
    <w:rsid w:val="17E55D61"/>
    <w:rsid w:val="18165342"/>
    <w:rsid w:val="18652789"/>
    <w:rsid w:val="1B345723"/>
    <w:rsid w:val="1BBA60E5"/>
    <w:rsid w:val="1BC56E70"/>
    <w:rsid w:val="1C627F55"/>
    <w:rsid w:val="1D0A1DE2"/>
    <w:rsid w:val="1D587755"/>
    <w:rsid w:val="1EF2230A"/>
    <w:rsid w:val="1F414626"/>
    <w:rsid w:val="20F823BA"/>
    <w:rsid w:val="2102393A"/>
    <w:rsid w:val="21AB4D09"/>
    <w:rsid w:val="22745C5E"/>
    <w:rsid w:val="236F2D44"/>
    <w:rsid w:val="243D3125"/>
    <w:rsid w:val="24DC2266"/>
    <w:rsid w:val="25B063F0"/>
    <w:rsid w:val="28285AC3"/>
    <w:rsid w:val="29CB7C5C"/>
    <w:rsid w:val="2A0A696E"/>
    <w:rsid w:val="2A3B3632"/>
    <w:rsid w:val="2D886435"/>
    <w:rsid w:val="2E4B3778"/>
    <w:rsid w:val="2E6417E1"/>
    <w:rsid w:val="30595D3D"/>
    <w:rsid w:val="31126497"/>
    <w:rsid w:val="31E35A4A"/>
    <w:rsid w:val="320D70E5"/>
    <w:rsid w:val="321B213B"/>
    <w:rsid w:val="32996DD7"/>
    <w:rsid w:val="333A475C"/>
    <w:rsid w:val="33A77195"/>
    <w:rsid w:val="3467324F"/>
    <w:rsid w:val="34B13E0A"/>
    <w:rsid w:val="35A00727"/>
    <w:rsid w:val="35AA6A5D"/>
    <w:rsid w:val="365D7B75"/>
    <w:rsid w:val="369425B0"/>
    <w:rsid w:val="3708279C"/>
    <w:rsid w:val="38101BDC"/>
    <w:rsid w:val="38D52E06"/>
    <w:rsid w:val="39202A4C"/>
    <w:rsid w:val="3AE7594B"/>
    <w:rsid w:val="3B1A26AC"/>
    <w:rsid w:val="3EFA15AF"/>
    <w:rsid w:val="400A0E7C"/>
    <w:rsid w:val="402D6650"/>
    <w:rsid w:val="40CD6F6C"/>
    <w:rsid w:val="4188500E"/>
    <w:rsid w:val="441D321A"/>
    <w:rsid w:val="46BB1D70"/>
    <w:rsid w:val="46D32060"/>
    <w:rsid w:val="486D744B"/>
    <w:rsid w:val="48D76A84"/>
    <w:rsid w:val="49353370"/>
    <w:rsid w:val="49BE0F84"/>
    <w:rsid w:val="4A962DA2"/>
    <w:rsid w:val="4B021F74"/>
    <w:rsid w:val="4C1015F2"/>
    <w:rsid w:val="4C6701A0"/>
    <w:rsid w:val="4C682DAB"/>
    <w:rsid w:val="4C8D3CEF"/>
    <w:rsid w:val="4CD56FC0"/>
    <w:rsid w:val="4D43770B"/>
    <w:rsid w:val="4DBB7B35"/>
    <w:rsid w:val="4F1B2D0E"/>
    <w:rsid w:val="527E450E"/>
    <w:rsid w:val="544A5CA0"/>
    <w:rsid w:val="573E284E"/>
    <w:rsid w:val="577C79A9"/>
    <w:rsid w:val="582E5733"/>
    <w:rsid w:val="593B03D6"/>
    <w:rsid w:val="5BE92036"/>
    <w:rsid w:val="5D1E24AB"/>
    <w:rsid w:val="5D7D6ACC"/>
    <w:rsid w:val="5E75161D"/>
    <w:rsid w:val="5E836A52"/>
    <w:rsid w:val="5F851E0F"/>
    <w:rsid w:val="602830E5"/>
    <w:rsid w:val="60E30F32"/>
    <w:rsid w:val="61154A53"/>
    <w:rsid w:val="61250004"/>
    <w:rsid w:val="613234B9"/>
    <w:rsid w:val="628C19A8"/>
    <w:rsid w:val="628E3A4D"/>
    <w:rsid w:val="64171857"/>
    <w:rsid w:val="64FF6AA6"/>
    <w:rsid w:val="65034568"/>
    <w:rsid w:val="65FB3868"/>
    <w:rsid w:val="665573DE"/>
    <w:rsid w:val="66A15BFD"/>
    <w:rsid w:val="678D6457"/>
    <w:rsid w:val="67B22036"/>
    <w:rsid w:val="68064BE1"/>
    <w:rsid w:val="684F7CD3"/>
    <w:rsid w:val="696F5440"/>
    <w:rsid w:val="6A6143C3"/>
    <w:rsid w:val="6A765A53"/>
    <w:rsid w:val="6A7C022B"/>
    <w:rsid w:val="6BCA2055"/>
    <w:rsid w:val="6D0D5C4F"/>
    <w:rsid w:val="6EA852B1"/>
    <w:rsid w:val="6F3D1891"/>
    <w:rsid w:val="6F436AB4"/>
    <w:rsid w:val="6F5C7397"/>
    <w:rsid w:val="6F816FD0"/>
    <w:rsid w:val="7123300E"/>
    <w:rsid w:val="71AF1274"/>
    <w:rsid w:val="7324698C"/>
    <w:rsid w:val="74417951"/>
    <w:rsid w:val="74F91823"/>
    <w:rsid w:val="75880226"/>
    <w:rsid w:val="758F603F"/>
    <w:rsid w:val="75FB4115"/>
    <w:rsid w:val="762E28C1"/>
    <w:rsid w:val="76BC6EC6"/>
    <w:rsid w:val="76D77A02"/>
    <w:rsid w:val="77136721"/>
    <w:rsid w:val="77EE4700"/>
    <w:rsid w:val="78DB0CA6"/>
    <w:rsid w:val="7A277512"/>
    <w:rsid w:val="7B126A34"/>
    <w:rsid w:val="7B164596"/>
    <w:rsid w:val="7B645410"/>
    <w:rsid w:val="7BB745F3"/>
    <w:rsid w:val="7BCE2342"/>
    <w:rsid w:val="7C1E6472"/>
    <w:rsid w:val="7C7D4221"/>
    <w:rsid w:val="7CD93A5E"/>
    <w:rsid w:val="7CDC5E07"/>
    <w:rsid w:val="7E6275FD"/>
    <w:rsid w:val="7EDC20F7"/>
    <w:rsid w:val="7F4A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annotation subject"/>
    <w:basedOn w:val="2"/>
    <w:next w:val="2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List Paragraph_37d0193b-9ea6-4e05-82c0-76b191eb0aef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11"/>
    <w:link w:val="3"/>
    <w:qFormat/>
    <w:uiPriority w:val="99"/>
  </w:style>
  <w:style w:type="character" w:customStyle="1" w:styleId="16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4"/>
    <w:qFormat/>
    <w:uiPriority w:val="99"/>
    <w:rPr>
      <w:sz w:val="18"/>
      <w:szCs w:val="18"/>
    </w:rPr>
  </w:style>
  <w:style w:type="table" w:customStyle="1" w:styleId="19">
    <w:name w:val="网格型1"/>
    <w:basedOn w:val="9"/>
    <w:qFormat/>
    <w:uiPriority w:val="59"/>
    <w:rPr>
      <w:rFonts w:ascii="Calibri" w:hAnsi="Calibri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批注文字 Char"/>
    <w:basedOn w:val="11"/>
    <w:link w:val="2"/>
    <w:qFormat/>
    <w:uiPriority w:val="0"/>
    <w:rPr>
      <w:rFonts w:ascii="Calibri" w:hAnsi="Calibri" w:cs="宋体"/>
      <w:kern w:val="2"/>
      <w:sz w:val="21"/>
      <w:szCs w:val="22"/>
    </w:rPr>
  </w:style>
  <w:style w:type="character" w:customStyle="1" w:styleId="21">
    <w:name w:val="批注主题 Char"/>
    <w:basedOn w:val="20"/>
    <w:link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4</Pages>
  <Words>1100</Words>
  <Characters>1106</Characters>
  <Paragraphs>28</Paragraphs>
  <TotalTime>29</TotalTime>
  <ScaleCrop>false</ScaleCrop>
  <LinksUpToDate>false</LinksUpToDate>
  <CharactersWithSpaces>1137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2021-04-26T11:04:00Z</dcterms:created>
  <dc:creator>jujumao</dc:creator>
  <cp:lastModifiedBy>董自上</cp:lastModifiedBy>
  <cp:lastPrinted>2021-10-26T03:27:00Z</cp:lastPrinted>
  <dcterms:modified xsi:type="dcterms:W3CDTF">2021-10-26T08:15:14Z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7B9A32B3E88C4E1EA4F896307956F6C0</vt:lpwstr>
  </property>
</Properties>
</file>